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9A" w:rsidRDefault="00BE1154">
      <w:r>
        <w:rPr>
          <w:noProof/>
        </w:rPr>
        <w:drawing>
          <wp:inline distT="0" distB="0" distL="0" distR="0">
            <wp:extent cx="6400800" cy="1104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2110 fa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C4" w:rsidRPr="0024026E" w:rsidRDefault="00BE1154" w:rsidP="0024026E">
      <w:pPr>
        <w:jc w:val="both"/>
        <w:rPr>
          <w:i/>
          <w:sz w:val="23"/>
          <w:szCs w:val="23"/>
        </w:rPr>
      </w:pPr>
      <w:r w:rsidRPr="0024026E">
        <w:rPr>
          <w:i/>
          <w:sz w:val="23"/>
          <w:szCs w:val="23"/>
        </w:rPr>
        <w:t xml:space="preserve">Mojave Desert habitat containing large shrubs as cover plants, diverse annual plant communities including native annual forb food plants with few non-native grasses, native herbaceous perennials and cacti </w:t>
      </w:r>
      <w:r w:rsidR="00DE1D2C">
        <w:rPr>
          <w:i/>
          <w:sz w:val="23"/>
          <w:szCs w:val="23"/>
        </w:rPr>
        <w:t>supplying</w:t>
      </w:r>
      <w:r w:rsidRPr="0024026E">
        <w:rPr>
          <w:i/>
          <w:sz w:val="23"/>
          <w:szCs w:val="23"/>
        </w:rPr>
        <w:t xml:space="preserve"> forage during dry years, minimal anthropogenic disturbance to soil and vegetation</w:t>
      </w:r>
      <w:r w:rsidR="00DE1D2C">
        <w:rPr>
          <w:i/>
          <w:sz w:val="23"/>
          <w:szCs w:val="23"/>
        </w:rPr>
        <w:t>, and high spatial connectivity</w:t>
      </w:r>
      <w:r w:rsidRPr="0024026E">
        <w:rPr>
          <w:i/>
          <w:sz w:val="23"/>
          <w:szCs w:val="23"/>
        </w:rPr>
        <w:t xml:space="preserve">.  These are all features perceived as contributing to high-quality </w:t>
      </w:r>
      <w:r w:rsidR="00DE1D2C">
        <w:rPr>
          <w:i/>
          <w:sz w:val="23"/>
          <w:szCs w:val="23"/>
        </w:rPr>
        <w:t xml:space="preserve">desert </w:t>
      </w:r>
      <w:r w:rsidRPr="0024026E">
        <w:rPr>
          <w:i/>
          <w:sz w:val="23"/>
          <w:szCs w:val="23"/>
        </w:rPr>
        <w:t>tortoise habitats.</w:t>
      </w:r>
    </w:p>
    <w:p w:rsidR="00CC28C4" w:rsidRPr="0024026E" w:rsidRDefault="00CC28C4">
      <w:pPr>
        <w:rPr>
          <w:sz w:val="23"/>
          <w:szCs w:val="23"/>
        </w:rPr>
      </w:pPr>
    </w:p>
    <w:p w:rsidR="00CC28C4" w:rsidRPr="0024026E" w:rsidRDefault="00CC28C4" w:rsidP="00CC28C4">
      <w:pPr>
        <w:jc w:val="center"/>
        <w:rPr>
          <w:b/>
          <w:smallCaps/>
          <w:sz w:val="23"/>
          <w:szCs w:val="23"/>
        </w:rPr>
      </w:pPr>
      <w:r w:rsidRPr="0024026E">
        <w:rPr>
          <w:b/>
          <w:smallCaps/>
          <w:sz w:val="23"/>
          <w:szCs w:val="23"/>
        </w:rPr>
        <w:t>Summary Fact Sheet: Desert Tortoise Habitat Restoration Literature Review</w:t>
      </w:r>
    </w:p>
    <w:p w:rsidR="00CC28C4" w:rsidRPr="0024026E" w:rsidRDefault="00CC28C4">
      <w:pPr>
        <w:rPr>
          <w:sz w:val="23"/>
          <w:szCs w:val="23"/>
        </w:rPr>
      </w:pPr>
    </w:p>
    <w:p w:rsidR="0088383E" w:rsidRPr="0024026E" w:rsidRDefault="00CC28C4">
      <w:pPr>
        <w:rPr>
          <w:sz w:val="23"/>
          <w:szCs w:val="23"/>
        </w:rPr>
      </w:pPr>
      <w:r w:rsidRPr="0024026E">
        <w:rPr>
          <w:sz w:val="23"/>
          <w:szCs w:val="23"/>
        </w:rPr>
        <w:t xml:space="preserve">A comprehensive literature review is available supporting the desert tortoise habitat restoration workshop to be held </w:t>
      </w:r>
      <w:r w:rsidR="005B090C" w:rsidRPr="0024026E">
        <w:rPr>
          <w:sz w:val="23"/>
          <w:szCs w:val="23"/>
        </w:rPr>
        <w:t xml:space="preserve">January 24-25, 2022 </w:t>
      </w:r>
      <w:r w:rsidRPr="0024026E">
        <w:rPr>
          <w:sz w:val="23"/>
          <w:szCs w:val="23"/>
        </w:rPr>
        <w:t xml:space="preserve">in Las Vegas, Nevada.  The review synthesizes desert tortoise habitat requirements and restoration practices, effectiveness, and costs for improving soil and vegetative </w:t>
      </w:r>
      <w:r w:rsidR="005B090C" w:rsidRPr="0024026E">
        <w:rPr>
          <w:sz w:val="23"/>
          <w:szCs w:val="23"/>
        </w:rPr>
        <w:t xml:space="preserve">habitat </w:t>
      </w:r>
      <w:r w:rsidRPr="0024026E">
        <w:rPr>
          <w:sz w:val="23"/>
          <w:szCs w:val="23"/>
        </w:rPr>
        <w:t xml:space="preserve">conditions.  Over 50 published studies are now available on restoration in the Mojave and western Sonoran Desert.  These studies </w:t>
      </w:r>
      <w:r w:rsidR="005B090C" w:rsidRPr="0024026E">
        <w:rPr>
          <w:sz w:val="23"/>
          <w:szCs w:val="23"/>
        </w:rPr>
        <w:t>highlight</w:t>
      </w:r>
      <w:r w:rsidRPr="0024026E">
        <w:rPr>
          <w:sz w:val="23"/>
          <w:szCs w:val="23"/>
        </w:rPr>
        <w:t xml:space="preserve"> that while restoration is challenging in this environment, strategically implementing effective treatments </w:t>
      </w:r>
      <w:r w:rsidR="00DE1D2C">
        <w:rPr>
          <w:sz w:val="23"/>
          <w:szCs w:val="23"/>
        </w:rPr>
        <w:t>can measur</w:t>
      </w:r>
      <w:r w:rsidR="005B090C" w:rsidRPr="0024026E">
        <w:rPr>
          <w:sz w:val="23"/>
          <w:szCs w:val="23"/>
        </w:rPr>
        <w:t xml:space="preserve">ably improve soil conditions, availability of cover plants for tortoises, and native annual and perennial food plants while lowering wildfire risk.  Restoration has </w:t>
      </w:r>
      <w:r w:rsidR="00DE1D2C">
        <w:rPr>
          <w:sz w:val="23"/>
          <w:szCs w:val="23"/>
        </w:rPr>
        <w:t>also succeeded</w:t>
      </w:r>
      <w:r w:rsidR="005B090C" w:rsidRPr="0024026E">
        <w:rPr>
          <w:sz w:val="23"/>
          <w:szCs w:val="23"/>
        </w:rPr>
        <w:t xml:space="preserve"> during severe droughts, which are anticipated to intensify, by applying multiple treatment types as a bet-hedging approach to increase chance for success in dynamic environments.  Key findings are summarized here.</w:t>
      </w:r>
    </w:p>
    <w:p w:rsidR="0088383E" w:rsidRPr="0024026E" w:rsidRDefault="0088383E">
      <w:pPr>
        <w:rPr>
          <w:sz w:val="16"/>
          <w:szCs w:val="16"/>
        </w:rPr>
      </w:pPr>
    </w:p>
    <w:p w:rsidR="0088383E" w:rsidRPr="0024026E" w:rsidRDefault="0024026E">
      <w:pPr>
        <w:rPr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88383E" w:rsidRPr="00275A53">
        <w:rPr>
          <w:b/>
          <w:sz w:val="23"/>
          <w:szCs w:val="23"/>
        </w:rPr>
        <w:t>High-quality desert tortoise habitats</w:t>
      </w:r>
      <w:r w:rsidR="0088383E" w:rsidRPr="0024026E">
        <w:rPr>
          <w:sz w:val="23"/>
          <w:szCs w:val="23"/>
        </w:rPr>
        <w:t xml:space="preserve"> can be generalized as providing </w:t>
      </w:r>
      <w:r w:rsidR="0088383E" w:rsidRPr="00275A53">
        <w:rPr>
          <w:b/>
          <w:sz w:val="23"/>
          <w:szCs w:val="23"/>
        </w:rPr>
        <w:t>four features</w:t>
      </w:r>
      <w:r w:rsidR="0088383E" w:rsidRPr="0024026E">
        <w:rPr>
          <w:sz w:val="23"/>
          <w:szCs w:val="23"/>
        </w:rPr>
        <w:t>: adequate perennial cover plants, high-quality food plants, free water for drinking, and safety (e.g., few roads and toxicants).</w:t>
      </w:r>
    </w:p>
    <w:p w:rsidR="0088383E" w:rsidRPr="0024026E" w:rsidRDefault="0088383E">
      <w:pPr>
        <w:rPr>
          <w:sz w:val="18"/>
          <w:szCs w:val="18"/>
        </w:rPr>
      </w:pPr>
    </w:p>
    <w:p w:rsidR="00B14FA8" w:rsidRPr="0024026E" w:rsidRDefault="0024026E" w:rsidP="00B14FA8">
      <w:pPr>
        <w:rPr>
          <w:sz w:val="23"/>
          <w:szCs w:val="23"/>
        </w:rPr>
      </w:pPr>
      <w:r>
        <w:t xml:space="preserve">– </w:t>
      </w:r>
      <w:r w:rsidR="00B14FA8" w:rsidRPr="0024026E">
        <w:rPr>
          <w:sz w:val="23"/>
          <w:szCs w:val="23"/>
        </w:rPr>
        <w:t xml:space="preserve">On </w:t>
      </w:r>
      <w:r w:rsidR="00B14FA8" w:rsidRPr="00275A53">
        <w:rPr>
          <w:b/>
          <w:sz w:val="23"/>
          <w:szCs w:val="23"/>
        </w:rPr>
        <w:t>severe disturbances without restoration</w:t>
      </w:r>
      <w:r w:rsidR="00B14FA8" w:rsidRPr="0024026E">
        <w:rPr>
          <w:sz w:val="23"/>
          <w:szCs w:val="23"/>
        </w:rPr>
        <w:t xml:space="preserve">, recovery of perennial cover (though not necessarily of the original species) averages 76 years and species composition over 215 years.  This represents a long-term, </w:t>
      </w:r>
      <w:r w:rsidR="00B14FA8" w:rsidRPr="00275A53">
        <w:rPr>
          <w:b/>
          <w:sz w:val="23"/>
          <w:szCs w:val="23"/>
        </w:rPr>
        <w:t>cumulative recovery debt</w:t>
      </w:r>
      <w:r w:rsidR="00B14FA8" w:rsidRPr="0024026E">
        <w:rPr>
          <w:sz w:val="23"/>
          <w:szCs w:val="23"/>
        </w:rPr>
        <w:t xml:space="preserve"> and highlights </w:t>
      </w:r>
      <w:r w:rsidR="003E0A03">
        <w:rPr>
          <w:sz w:val="23"/>
          <w:szCs w:val="23"/>
        </w:rPr>
        <w:t>potential for</w:t>
      </w:r>
      <w:r w:rsidR="00B14FA8" w:rsidRPr="0024026E">
        <w:rPr>
          <w:sz w:val="23"/>
          <w:szCs w:val="23"/>
        </w:rPr>
        <w:t xml:space="preserve"> restoration </w:t>
      </w:r>
      <w:r w:rsidR="003E0A03">
        <w:rPr>
          <w:sz w:val="23"/>
          <w:szCs w:val="23"/>
        </w:rPr>
        <w:t>to</w:t>
      </w:r>
      <w:r w:rsidR="00B14FA8" w:rsidRPr="0024026E">
        <w:rPr>
          <w:sz w:val="23"/>
          <w:szCs w:val="23"/>
        </w:rPr>
        <w:t xml:space="preserve"> accelerate </w:t>
      </w:r>
      <w:r w:rsidR="00DE1D2C">
        <w:rPr>
          <w:sz w:val="23"/>
          <w:szCs w:val="23"/>
        </w:rPr>
        <w:t xml:space="preserve">ecological </w:t>
      </w:r>
      <w:r w:rsidR="00B14FA8" w:rsidRPr="0024026E">
        <w:rPr>
          <w:sz w:val="23"/>
          <w:szCs w:val="23"/>
        </w:rPr>
        <w:t>recovery.</w:t>
      </w:r>
    </w:p>
    <w:p w:rsidR="00B14FA8" w:rsidRPr="0024026E" w:rsidRDefault="00B14FA8">
      <w:pPr>
        <w:rPr>
          <w:sz w:val="18"/>
          <w:szCs w:val="18"/>
        </w:rPr>
      </w:pPr>
    </w:p>
    <w:p w:rsidR="00B14FA8" w:rsidRPr="0024026E" w:rsidRDefault="0024026E">
      <w:pPr>
        <w:rPr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88383E" w:rsidRPr="00275A53">
        <w:rPr>
          <w:b/>
          <w:sz w:val="23"/>
          <w:szCs w:val="23"/>
        </w:rPr>
        <w:t>Restoration in tortoise habitat must contend with</w:t>
      </w:r>
      <w:r w:rsidR="0088383E" w:rsidRPr="0024026E">
        <w:rPr>
          <w:sz w:val="23"/>
          <w:szCs w:val="23"/>
        </w:rPr>
        <w:t xml:space="preserve"> sparse and variable precipitation, extreme temperature and evaporation rates, intensive herbivory often targeting nutrient-enriched plant materials, infertile soil and degraded or missing environmental features (e.g., loss of </w:t>
      </w:r>
      <w:proofErr w:type="spellStart"/>
      <w:r w:rsidR="0088383E" w:rsidRPr="0024026E">
        <w:rPr>
          <w:sz w:val="23"/>
          <w:szCs w:val="23"/>
        </w:rPr>
        <w:t>microtopographic</w:t>
      </w:r>
      <w:proofErr w:type="spellEnd"/>
      <w:r w:rsidR="0088383E" w:rsidRPr="0024026E">
        <w:rPr>
          <w:sz w:val="23"/>
          <w:szCs w:val="23"/>
        </w:rPr>
        <w:t xml:space="preserve"> diversity otherwise retaining water), high winds and soil erosion, pervasive and competitive non-native plants, and potential external stressors such as continued anthropogenic </w:t>
      </w:r>
      <w:r w:rsidR="00B14FA8" w:rsidRPr="0024026E">
        <w:rPr>
          <w:sz w:val="23"/>
          <w:szCs w:val="23"/>
        </w:rPr>
        <w:t xml:space="preserve">disturbance and climate change.  </w:t>
      </w:r>
      <w:r w:rsidR="00B14FA8" w:rsidRPr="00275A53">
        <w:rPr>
          <w:b/>
          <w:sz w:val="23"/>
          <w:szCs w:val="23"/>
        </w:rPr>
        <w:t xml:space="preserve">Carefully prepared and implemented </w:t>
      </w:r>
      <w:r w:rsidR="003E0A03" w:rsidRPr="00275A53">
        <w:rPr>
          <w:b/>
          <w:sz w:val="23"/>
          <w:szCs w:val="23"/>
        </w:rPr>
        <w:t>restoration techniques</w:t>
      </w:r>
      <w:r w:rsidR="00B14FA8" w:rsidRPr="00275A53">
        <w:rPr>
          <w:b/>
          <w:sz w:val="23"/>
          <w:szCs w:val="23"/>
        </w:rPr>
        <w:t xml:space="preserve"> can ameliorate or accommodate these challenges.</w:t>
      </w:r>
      <w:r w:rsidR="00B14FA8" w:rsidRPr="0024026E">
        <w:rPr>
          <w:sz w:val="23"/>
          <w:szCs w:val="23"/>
        </w:rPr>
        <w:t xml:space="preserve"> </w:t>
      </w:r>
    </w:p>
    <w:p w:rsidR="00B14FA8" w:rsidRPr="0024026E" w:rsidRDefault="00B14FA8">
      <w:pPr>
        <w:rPr>
          <w:sz w:val="18"/>
          <w:szCs w:val="18"/>
        </w:rPr>
      </w:pPr>
    </w:p>
    <w:p w:rsidR="00B14FA8" w:rsidRPr="0024026E" w:rsidRDefault="0024026E">
      <w:pPr>
        <w:rPr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B14FA8" w:rsidRPr="00275A53">
        <w:rPr>
          <w:b/>
          <w:sz w:val="23"/>
          <w:szCs w:val="23"/>
        </w:rPr>
        <w:t>The review covers 11 major restoration treatments (and their variations) in three categories</w:t>
      </w:r>
      <w:r w:rsidR="00B14FA8" w:rsidRPr="0024026E">
        <w:rPr>
          <w:sz w:val="23"/>
          <w:szCs w:val="23"/>
        </w:rPr>
        <w:t xml:space="preserve">: active </w:t>
      </w:r>
      <w:r w:rsidR="00B14FA8" w:rsidRPr="00275A53">
        <w:rPr>
          <w:b/>
          <w:sz w:val="23"/>
          <w:szCs w:val="23"/>
        </w:rPr>
        <w:t>revegetation</w:t>
      </w:r>
      <w:r w:rsidR="00B14FA8" w:rsidRPr="0024026E">
        <w:rPr>
          <w:sz w:val="23"/>
          <w:szCs w:val="23"/>
        </w:rPr>
        <w:t xml:space="preserve"> (e.g., seeding, outplanting nursery-propagated seedlings), </w:t>
      </w:r>
      <w:r w:rsidR="00B14FA8" w:rsidRPr="00275A53">
        <w:rPr>
          <w:b/>
          <w:sz w:val="23"/>
          <w:szCs w:val="23"/>
        </w:rPr>
        <w:t>environmental site restoration</w:t>
      </w:r>
      <w:r w:rsidR="00B14FA8" w:rsidRPr="0024026E">
        <w:rPr>
          <w:sz w:val="23"/>
          <w:szCs w:val="23"/>
        </w:rPr>
        <w:t xml:space="preserve"> (e.g., vertical mulching using dead plant material for inexpensively restoring structure), and </w:t>
      </w:r>
      <w:r w:rsidR="00B14FA8" w:rsidRPr="00275A53">
        <w:rPr>
          <w:b/>
          <w:sz w:val="23"/>
          <w:szCs w:val="23"/>
        </w:rPr>
        <w:t>restorative management actions</w:t>
      </w:r>
      <w:r w:rsidR="00B14FA8" w:rsidRPr="0024026E">
        <w:rPr>
          <w:sz w:val="23"/>
          <w:szCs w:val="23"/>
        </w:rPr>
        <w:t xml:space="preserve"> (limiting disturbance and reducing non-native plants and fire risk).</w:t>
      </w:r>
    </w:p>
    <w:p w:rsidR="00B14FA8" w:rsidRPr="0024026E" w:rsidRDefault="00B14FA8">
      <w:pPr>
        <w:rPr>
          <w:sz w:val="18"/>
          <w:szCs w:val="18"/>
        </w:rPr>
      </w:pPr>
    </w:p>
    <w:p w:rsidR="00B14FA8" w:rsidRDefault="0024026E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B14FA8" w:rsidRPr="00275A53">
        <w:rPr>
          <w:b/>
          <w:sz w:val="23"/>
          <w:szCs w:val="23"/>
        </w:rPr>
        <w:t xml:space="preserve">Sixteen outplanting studies assessed survival of 46 </w:t>
      </w:r>
      <w:proofErr w:type="spellStart"/>
      <w:r w:rsidR="00B14FA8" w:rsidRPr="00275A53">
        <w:rPr>
          <w:b/>
          <w:sz w:val="23"/>
          <w:szCs w:val="23"/>
        </w:rPr>
        <w:t>outplanted</w:t>
      </w:r>
      <w:proofErr w:type="spellEnd"/>
      <w:r w:rsidR="00B14FA8" w:rsidRPr="00275A53">
        <w:rPr>
          <w:b/>
          <w:sz w:val="23"/>
          <w:szCs w:val="23"/>
        </w:rPr>
        <w:t xml:space="preserve"> native perennial species</w:t>
      </w:r>
      <w:r w:rsidR="00B14FA8" w:rsidRPr="0024026E">
        <w:rPr>
          <w:sz w:val="23"/>
          <w:szCs w:val="23"/>
        </w:rPr>
        <w:t xml:space="preserve"> for at least one year at field sites.  Top-performing species</w:t>
      </w:r>
      <w:r w:rsidR="00DE1D2C">
        <w:rPr>
          <w:sz w:val="23"/>
          <w:szCs w:val="23"/>
        </w:rPr>
        <w:t>,</w:t>
      </w:r>
      <w:r w:rsidR="00B14FA8" w:rsidRPr="0024026E">
        <w:rPr>
          <w:sz w:val="23"/>
          <w:szCs w:val="23"/>
        </w:rPr>
        <w:t xml:space="preserve"> exhibiting </w:t>
      </w:r>
      <w:r w:rsidR="00B14FA8" w:rsidRPr="0024026E">
        <w:rPr>
          <w:rFonts w:cs="Times New Roman"/>
          <w:sz w:val="23"/>
          <w:szCs w:val="23"/>
        </w:rPr>
        <w:t>≥</w:t>
      </w:r>
      <w:r w:rsidR="00B14FA8" w:rsidRPr="0024026E">
        <w:rPr>
          <w:sz w:val="23"/>
          <w:szCs w:val="23"/>
        </w:rPr>
        <w:t xml:space="preserve"> 50% survival</w:t>
      </w:r>
      <w:r w:rsidR="00DE1D2C">
        <w:rPr>
          <w:sz w:val="23"/>
          <w:szCs w:val="23"/>
        </w:rPr>
        <w:t>,</w:t>
      </w:r>
      <w:r w:rsidR="00B14FA8" w:rsidRPr="0024026E">
        <w:rPr>
          <w:sz w:val="23"/>
          <w:szCs w:val="23"/>
        </w:rPr>
        <w:t xml:space="preserve"> included major tortoise cover plants such as </w:t>
      </w:r>
      <w:r w:rsidR="00B14FA8" w:rsidRPr="0024026E">
        <w:rPr>
          <w:rFonts w:cs="Times New Roman"/>
          <w:sz w:val="23"/>
          <w:szCs w:val="23"/>
        </w:rPr>
        <w:t>creosote bush (</w:t>
      </w:r>
      <w:proofErr w:type="spellStart"/>
      <w:r w:rsidR="00B14FA8" w:rsidRPr="0024026E">
        <w:rPr>
          <w:rFonts w:cs="Times New Roman"/>
          <w:i/>
          <w:sz w:val="23"/>
          <w:szCs w:val="23"/>
        </w:rPr>
        <w:t>Larrea</w:t>
      </w:r>
      <w:proofErr w:type="spellEnd"/>
      <w:r w:rsidR="00B14FA8" w:rsidRPr="0024026E">
        <w:rPr>
          <w:rFonts w:cs="Times New Roman"/>
          <w:i/>
          <w:sz w:val="23"/>
          <w:szCs w:val="23"/>
        </w:rPr>
        <w:t xml:space="preserve"> tridentata</w:t>
      </w:r>
      <w:r w:rsidR="00B14FA8" w:rsidRPr="0024026E">
        <w:rPr>
          <w:rFonts w:cs="Times New Roman"/>
          <w:sz w:val="23"/>
          <w:szCs w:val="23"/>
        </w:rPr>
        <w:t xml:space="preserve">) and Anderson </w:t>
      </w:r>
      <w:proofErr w:type="spellStart"/>
      <w:r w:rsidR="00B14FA8" w:rsidRPr="0024026E">
        <w:rPr>
          <w:rFonts w:cs="Times New Roman"/>
          <w:sz w:val="23"/>
          <w:szCs w:val="23"/>
        </w:rPr>
        <w:t>thornbush</w:t>
      </w:r>
      <w:proofErr w:type="spellEnd"/>
      <w:r w:rsidR="00B14FA8" w:rsidRPr="0024026E">
        <w:rPr>
          <w:rFonts w:cs="Times New Roman"/>
          <w:sz w:val="23"/>
          <w:szCs w:val="23"/>
        </w:rPr>
        <w:t xml:space="preserve"> (</w:t>
      </w:r>
      <w:proofErr w:type="spellStart"/>
      <w:r w:rsidR="00B14FA8" w:rsidRPr="0024026E">
        <w:rPr>
          <w:rFonts w:cs="Times New Roman"/>
          <w:i/>
          <w:sz w:val="23"/>
          <w:szCs w:val="23"/>
        </w:rPr>
        <w:t>Lycium</w:t>
      </w:r>
      <w:proofErr w:type="spellEnd"/>
      <w:r w:rsidR="00B14FA8" w:rsidRPr="0024026E">
        <w:rPr>
          <w:rFonts w:cs="Times New Roman"/>
          <w:i/>
          <w:sz w:val="23"/>
          <w:szCs w:val="23"/>
        </w:rPr>
        <w:t xml:space="preserve"> </w:t>
      </w:r>
      <w:proofErr w:type="spellStart"/>
      <w:r w:rsidR="00B14FA8" w:rsidRPr="0024026E">
        <w:rPr>
          <w:rFonts w:cs="Times New Roman"/>
          <w:i/>
          <w:sz w:val="23"/>
          <w:szCs w:val="23"/>
        </w:rPr>
        <w:t>andersonii</w:t>
      </w:r>
      <w:proofErr w:type="spellEnd"/>
      <w:r w:rsidR="00B14FA8" w:rsidRPr="0024026E">
        <w:rPr>
          <w:rFonts w:cs="Times New Roman"/>
          <w:sz w:val="23"/>
          <w:szCs w:val="23"/>
        </w:rPr>
        <w:t>).  Treatments such as placing protective shelters around plants are often required to achieve good survival.  Outplanting can be</w:t>
      </w:r>
      <w:r w:rsidR="00DE1D2C">
        <w:rPr>
          <w:rFonts w:cs="Times New Roman"/>
          <w:sz w:val="23"/>
          <w:szCs w:val="23"/>
        </w:rPr>
        <w:t xml:space="preserve"> </w:t>
      </w:r>
      <w:r w:rsidR="00DE1D2C" w:rsidRPr="0024026E">
        <w:rPr>
          <w:rFonts w:cs="Times New Roman"/>
          <w:sz w:val="23"/>
          <w:szCs w:val="23"/>
        </w:rPr>
        <w:t>spatially</w:t>
      </w:r>
      <w:r w:rsidR="00B14FA8" w:rsidRPr="0024026E">
        <w:rPr>
          <w:rFonts w:cs="Times New Roman"/>
          <w:sz w:val="23"/>
          <w:szCs w:val="23"/>
        </w:rPr>
        <w:t xml:space="preserve"> deployed strategically and has potential to revegetate larger areas than </w:t>
      </w:r>
      <w:r w:rsidR="003B1030">
        <w:rPr>
          <w:rFonts w:cs="Times New Roman"/>
          <w:sz w:val="23"/>
          <w:szCs w:val="23"/>
        </w:rPr>
        <w:t xml:space="preserve">were </w:t>
      </w:r>
      <w:r w:rsidR="00B14FA8" w:rsidRPr="0024026E">
        <w:rPr>
          <w:rFonts w:cs="Times New Roman"/>
          <w:sz w:val="23"/>
          <w:szCs w:val="23"/>
        </w:rPr>
        <w:t>originally planted</w:t>
      </w:r>
      <w:r w:rsidR="003B1030">
        <w:rPr>
          <w:rFonts w:cs="Times New Roman"/>
          <w:sz w:val="23"/>
          <w:szCs w:val="23"/>
        </w:rPr>
        <w:t>,</w:t>
      </w:r>
      <w:r w:rsidR="00B14FA8" w:rsidRPr="0024026E">
        <w:rPr>
          <w:rFonts w:cs="Times New Roman"/>
          <w:sz w:val="23"/>
          <w:szCs w:val="23"/>
        </w:rPr>
        <w:t xml:space="preserve"> via reproduction of </w:t>
      </w:r>
      <w:proofErr w:type="gramStart"/>
      <w:r w:rsidR="00B14FA8" w:rsidRPr="0024026E">
        <w:rPr>
          <w:rFonts w:cs="Times New Roman"/>
          <w:sz w:val="23"/>
          <w:szCs w:val="23"/>
        </w:rPr>
        <w:t>the outplants</w:t>
      </w:r>
      <w:proofErr w:type="gramEnd"/>
      <w:r w:rsidR="00B14FA8" w:rsidRPr="0024026E">
        <w:rPr>
          <w:rFonts w:cs="Times New Roman"/>
          <w:sz w:val="23"/>
          <w:szCs w:val="23"/>
        </w:rPr>
        <w:t xml:space="preserve"> themselves or stimulating recruitment</w:t>
      </w:r>
      <w:r w:rsidR="003B1030">
        <w:rPr>
          <w:rFonts w:cs="Times New Roman"/>
          <w:sz w:val="23"/>
          <w:szCs w:val="23"/>
        </w:rPr>
        <w:t xml:space="preserve"> of other species</w:t>
      </w:r>
      <w:r w:rsidR="00B14FA8" w:rsidRPr="0024026E">
        <w:rPr>
          <w:rFonts w:cs="Times New Roman"/>
          <w:sz w:val="23"/>
          <w:szCs w:val="23"/>
        </w:rPr>
        <w:t>.</w:t>
      </w:r>
    </w:p>
    <w:p w:rsidR="0024026E" w:rsidRPr="0024026E" w:rsidRDefault="0024026E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 xml:space="preserve">A total of 44 species </w:t>
      </w:r>
      <w:r w:rsidR="003B1030" w:rsidRPr="00275A53">
        <w:rPr>
          <w:rFonts w:cs="Times New Roman"/>
          <w:b/>
          <w:sz w:val="23"/>
          <w:szCs w:val="23"/>
        </w:rPr>
        <w:t>were</w:t>
      </w:r>
      <w:r w:rsidR="006807C2" w:rsidRPr="00275A53">
        <w:rPr>
          <w:rFonts w:cs="Times New Roman"/>
          <w:b/>
          <w:sz w:val="23"/>
          <w:szCs w:val="23"/>
        </w:rPr>
        <w:t xml:space="preserve"> evaluated for amenability to salvage and transplanting</w:t>
      </w:r>
      <w:r w:rsidR="006807C2" w:rsidRPr="0024026E">
        <w:rPr>
          <w:rFonts w:cs="Times New Roman"/>
          <w:sz w:val="23"/>
          <w:szCs w:val="23"/>
        </w:rPr>
        <w:t xml:space="preserve"> and 25 of them achieved at least 50% survival in a study.  </w:t>
      </w:r>
      <w:r w:rsidR="006807C2" w:rsidRPr="00275A53">
        <w:rPr>
          <w:rFonts w:cs="Times New Roman"/>
          <w:b/>
          <w:sz w:val="23"/>
          <w:szCs w:val="23"/>
        </w:rPr>
        <w:t>Cacti</w:t>
      </w:r>
      <w:r w:rsidR="006807C2" w:rsidRPr="0024026E">
        <w:rPr>
          <w:rFonts w:cs="Times New Roman"/>
          <w:sz w:val="23"/>
          <w:szCs w:val="23"/>
        </w:rPr>
        <w:t xml:space="preserve"> are among the species most amenable to transplanting, which is significant as cacti have been important </w:t>
      </w:r>
      <w:r w:rsidR="006807C2" w:rsidRPr="00275A53">
        <w:rPr>
          <w:rFonts w:cs="Times New Roman"/>
          <w:b/>
          <w:sz w:val="23"/>
          <w:szCs w:val="23"/>
        </w:rPr>
        <w:t>forage to tortoises</w:t>
      </w:r>
      <w:r w:rsidR="00275A53">
        <w:rPr>
          <w:rFonts w:cs="Times New Roman"/>
          <w:b/>
          <w:sz w:val="23"/>
          <w:szCs w:val="23"/>
        </w:rPr>
        <w:t>,</w:t>
      </w:r>
      <w:r w:rsidR="006807C2" w:rsidRPr="0024026E">
        <w:rPr>
          <w:rFonts w:cs="Times New Roman"/>
          <w:sz w:val="23"/>
          <w:szCs w:val="23"/>
        </w:rPr>
        <w:t xml:space="preserve"> </w:t>
      </w:r>
      <w:r w:rsidR="003B1030">
        <w:rPr>
          <w:rFonts w:cs="Times New Roman"/>
          <w:sz w:val="23"/>
          <w:szCs w:val="23"/>
        </w:rPr>
        <w:t xml:space="preserve">especially </w:t>
      </w:r>
      <w:r w:rsidR="006807C2" w:rsidRPr="0024026E">
        <w:rPr>
          <w:rFonts w:cs="Times New Roman"/>
          <w:sz w:val="23"/>
          <w:szCs w:val="23"/>
        </w:rPr>
        <w:t>during dry years.</w:t>
      </w: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lastRenderedPageBreak/>
        <w:t>–</w:t>
      </w:r>
      <w:r>
        <w:rPr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>Propagating plants</w:t>
      </w:r>
      <w:r w:rsidR="006807C2" w:rsidRPr="0024026E">
        <w:rPr>
          <w:rFonts w:cs="Times New Roman"/>
          <w:sz w:val="23"/>
          <w:szCs w:val="23"/>
        </w:rPr>
        <w:t xml:space="preserve"> using cuttings from stems, rhizomes, or roots avoids a need for collecting and successfully germinating seed.  </w:t>
      </w:r>
      <w:r w:rsidR="006807C2" w:rsidRPr="00275A53">
        <w:rPr>
          <w:rFonts w:cs="Times New Roman"/>
          <w:b/>
          <w:sz w:val="23"/>
          <w:szCs w:val="23"/>
        </w:rPr>
        <w:t>Four studies</w:t>
      </w:r>
      <w:r w:rsidR="006807C2" w:rsidRPr="0024026E">
        <w:rPr>
          <w:rFonts w:cs="Times New Roman"/>
          <w:sz w:val="23"/>
          <w:szCs w:val="23"/>
        </w:rPr>
        <w:t xml:space="preserve"> </w:t>
      </w:r>
      <w:r w:rsidR="003E0A03">
        <w:rPr>
          <w:rFonts w:cs="Times New Roman"/>
          <w:sz w:val="23"/>
          <w:szCs w:val="23"/>
        </w:rPr>
        <w:t>demonstrate</w:t>
      </w:r>
      <w:r w:rsidR="006807C2" w:rsidRPr="0024026E">
        <w:rPr>
          <w:rFonts w:cs="Times New Roman"/>
          <w:sz w:val="23"/>
          <w:szCs w:val="23"/>
        </w:rPr>
        <w:t xml:space="preserve"> that this practice is another potential tool practitioners can use for revegetating tortoise habitats</w:t>
      </w:r>
      <w:r w:rsidR="003B1030">
        <w:rPr>
          <w:rFonts w:cs="Times New Roman"/>
          <w:sz w:val="23"/>
          <w:szCs w:val="23"/>
        </w:rPr>
        <w:t xml:space="preserve"> or augmenting plant availability</w:t>
      </w:r>
      <w:r w:rsidR="006807C2" w:rsidRPr="0024026E">
        <w:rPr>
          <w:rFonts w:cs="Times New Roman"/>
          <w:sz w:val="23"/>
          <w:szCs w:val="23"/>
        </w:rPr>
        <w:t>.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>Thirteen seeding studies</w:t>
      </w:r>
      <w:r w:rsidR="006807C2" w:rsidRPr="0024026E">
        <w:rPr>
          <w:rFonts w:cs="Times New Roman"/>
          <w:sz w:val="23"/>
          <w:szCs w:val="23"/>
        </w:rPr>
        <w:t xml:space="preserve"> in the Mojave Desert included a total of </w:t>
      </w:r>
      <w:r w:rsidR="006807C2" w:rsidRPr="00275A53">
        <w:rPr>
          <w:rFonts w:cs="Times New Roman"/>
          <w:b/>
          <w:sz w:val="23"/>
          <w:szCs w:val="23"/>
        </w:rPr>
        <w:t>44 native seeded species</w:t>
      </w:r>
      <w:r w:rsidR="006807C2" w:rsidRPr="0024026E">
        <w:rPr>
          <w:rFonts w:cs="Times New Roman"/>
          <w:sz w:val="23"/>
          <w:szCs w:val="23"/>
        </w:rPr>
        <w:t xml:space="preserve"> and monitored plant establishment for at least one year.  </w:t>
      </w:r>
      <w:r w:rsidR="006807C2" w:rsidRPr="00275A53">
        <w:rPr>
          <w:rFonts w:cs="Times New Roman"/>
          <w:b/>
          <w:sz w:val="23"/>
          <w:szCs w:val="23"/>
        </w:rPr>
        <w:t>Results have been highly variable.</w:t>
      </w:r>
      <w:r w:rsidR="006807C2" w:rsidRPr="0024026E">
        <w:rPr>
          <w:rFonts w:cs="Times New Roman"/>
          <w:sz w:val="23"/>
          <w:szCs w:val="23"/>
        </w:rPr>
        <w:t xml:space="preserve">  Seeding in some projects failed to result in plant establishment of most or all species, while all species seeded in other studies became established in the short-term, with uncertain long-term persistence.  One </w:t>
      </w:r>
      <w:r w:rsidR="003B1030">
        <w:rPr>
          <w:rFonts w:cs="Times New Roman"/>
          <w:sz w:val="23"/>
          <w:szCs w:val="23"/>
        </w:rPr>
        <w:t>of the more successful studies</w:t>
      </w:r>
      <w:r w:rsidR="006807C2" w:rsidRPr="0024026E">
        <w:rPr>
          <w:rFonts w:cs="Times New Roman"/>
          <w:sz w:val="23"/>
          <w:szCs w:val="23"/>
        </w:rPr>
        <w:t xml:space="preserve"> found that a co</w:t>
      </w:r>
      <w:r w:rsidR="003E0A03">
        <w:rPr>
          <w:rFonts w:cs="Times New Roman"/>
          <w:sz w:val="23"/>
          <w:szCs w:val="23"/>
        </w:rPr>
        <w:t>mbination of pelletizing</w:t>
      </w:r>
      <w:r w:rsidR="006807C2" w:rsidRPr="0024026E">
        <w:rPr>
          <w:rFonts w:cs="Times New Roman"/>
          <w:sz w:val="23"/>
          <w:szCs w:val="23"/>
        </w:rPr>
        <w:t xml:space="preserve"> seed and fencing persistently increased abundance of the annual forb desert plantain (</w:t>
      </w:r>
      <w:proofErr w:type="spellStart"/>
      <w:r w:rsidR="006807C2" w:rsidRPr="0024026E">
        <w:rPr>
          <w:rFonts w:cs="Times New Roman"/>
          <w:i/>
          <w:sz w:val="23"/>
          <w:szCs w:val="23"/>
        </w:rPr>
        <w:t>Plantago</w:t>
      </w:r>
      <w:proofErr w:type="spellEnd"/>
      <w:r w:rsidR="006807C2" w:rsidRPr="0024026E">
        <w:rPr>
          <w:rFonts w:cs="Times New Roman"/>
          <w:i/>
          <w:sz w:val="23"/>
          <w:szCs w:val="23"/>
        </w:rPr>
        <w:t xml:space="preserve"> ovata</w:t>
      </w:r>
      <w:r w:rsidR="006807C2" w:rsidRPr="0024026E">
        <w:rPr>
          <w:rFonts w:cs="Times New Roman"/>
          <w:sz w:val="23"/>
          <w:szCs w:val="23"/>
        </w:rPr>
        <w:t xml:space="preserve">), a </w:t>
      </w:r>
      <w:r w:rsidR="003E0A03" w:rsidRPr="0024026E">
        <w:rPr>
          <w:rFonts w:cs="Times New Roman"/>
          <w:sz w:val="23"/>
          <w:szCs w:val="23"/>
        </w:rPr>
        <w:t xml:space="preserve">native </w:t>
      </w:r>
      <w:r w:rsidR="006807C2" w:rsidRPr="0024026E">
        <w:rPr>
          <w:rFonts w:cs="Times New Roman"/>
          <w:sz w:val="23"/>
          <w:szCs w:val="23"/>
        </w:rPr>
        <w:t>forage species favored by tortoises.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>Assisted natural regeneration</w:t>
      </w:r>
      <w:r w:rsidR="006807C2" w:rsidRPr="0024026E">
        <w:rPr>
          <w:rFonts w:cs="Times New Roman"/>
          <w:sz w:val="23"/>
          <w:szCs w:val="23"/>
        </w:rPr>
        <w:t xml:space="preserve"> has potential </w:t>
      </w:r>
      <w:r w:rsidR="003B1030">
        <w:rPr>
          <w:rFonts w:cs="Times New Roman"/>
          <w:sz w:val="23"/>
          <w:szCs w:val="23"/>
        </w:rPr>
        <w:t xml:space="preserve">as a </w:t>
      </w:r>
      <w:r w:rsidR="006807C2" w:rsidRPr="0024026E">
        <w:rPr>
          <w:rFonts w:cs="Times New Roman"/>
          <w:sz w:val="23"/>
          <w:szCs w:val="23"/>
        </w:rPr>
        <w:t>technique for enhancing the natural recruitment of desired species, such as by protecting natural seedlings to increa</w:t>
      </w:r>
      <w:r w:rsidR="003B1030">
        <w:rPr>
          <w:rFonts w:cs="Times New Roman"/>
          <w:sz w:val="23"/>
          <w:szCs w:val="23"/>
        </w:rPr>
        <w:t>se their survival.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>Abiotic structural restoration</w:t>
      </w:r>
      <w:r w:rsidR="006807C2" w:rsidRPr="0024026E">
        <w:rPr>
          <w:rFonts w:cs="Times New Roman"/>
          <w:sz w:val="23"/>
          <w:szCs w:val="23"/>
        </w:rPr>
        <w:t xml:space="preserve">, especially </w:t>
      </w:r>
      <w:r w:rsidR="006807C2" w:rsidRPr="00275A53">
        <w:rPr>
          <w:rFonts w:cs="Times New Roman"/>
          <w:b/>
          <w:sz w:val="23"/>
          <w:szCs w:val="23"/>
        </w:rPr>
        <w:t>vertical mulching</w:t>
      </w:r>
      <w:r w:rsidR="006807C2" w:rsidRPr="0024026E">
        <w:rPr>
          <w:rFonts w:cs="Times New Roman"/>
          <w:sz w:val="23"/>
          <w:szCs w:val="23"/>
        </w:rPr>
        <w:t>, shows promise as an inexpensive technique for slowing soil erosion, reestablishing structure, and fostering conditions for plant recruitment.  It can be used independently or combined with active revegeta</w:t>
      </w:r>
      <w:r w:rsidR="003B1030">
        <w:rPr>
          <w:rFonts w:cs="Times New Roman"/>
          <w:sz w:val="23"/>
          <w:szCs w:val="23"/>
        </w:rPr>
        <w:t>tion as a bet-hedging strategy</w:t>
      </w:r>
      <w:r w:rsidR="006807C2" w:rsidRPr="0024026E">
        <w:rPr>
          <w:rFonts w:cs="Times New Roman"/>
          <w:sz w:val="23"/>
          <w:szCs w:val="23"/>
        </w:rPr>
        <w:t>.  For example, one study found that all outplants died during the worst drought conditions in the last 47 years, but vertical mulch nevertheless reduced soil erosion</w:t>
      </w:r>
      <w:r w:rsidR="003B1030">
        <w:rPr>
          <w:rFonts w:cs="Times New Roman"/>
          <w:sz w:val="23"/>
          <w:szCs w:val="23"/>
        </w:rPr>
        <w:t xml:space="preserve"> and facilitated native seed germination</w:t>
      </w:r>
      <w:r w:rsidR="006807C2" w:rsidRPr="0024026E">
        <w:rPr>
          <w:rFonts w:cs="Times New Roman"/>
          <w:sz w:val="23"/>
          <w:szCs w:val="23"/>
        </w:rPr>
        <w:t xml:space="preserve">.  </w:t>
      </w:r>
      <w:r w:rsidR="003B1030">
        <w:rPr>
          <w:rFonts w:cs="Times New Roman"/>
          <w:sz w:val="23"/>
          <w:szCs w:val="23"/>
        </w:rPr>
        <w:t>C</w:t>
      </w:r>
      <w:r w:rsidR="003B1030" w:rsidRPr="0024026E">
        <w:rPr>
          <w:rFonts w:cs="Times New Roman"/>
          <w:sz w:val="23"/>
          <w:szCs w:val="23"/>
        </w:rPr>
        <w:t xml:space="preserve">ompared with </w:t>
      </w:r>
      <w:r w:rsidR="003B1030">
        <w:rPr>
          <w:rFonts w:cs="Times New Roman"/>
          <w:sz w:val="23"/>
          <w:szCs w:val="23"/>
        </w:rPr>
        <w:t>active revegetation,</w:t>
      </w:r>
      <w:r w:rsidR="003B1030" w:rsidRPr="0024026E">
        <w:rPr>
          <w:rFonts w:cs="Times New Roman"/>
          <w:sz w:val="23"/>
          <w:szCs w:val="23"/>
        </w:rPr>
        <w:t xml:space="preserve"> </w:t>
      </w:r>
      <w:r w:rsidR="003B1030">
        <w:rPr>
          <w:rFonts w:cs="Times New Roman"/>
          <w:sz w:val="23"/>
          <w:szCs w:val="23"/>
        </w:rPr>
        <w:t>a</w:t>
      </w:r>
      <w:r w:rsidR="006807C2" w:rsidRPr="0024026E">
        <w:rPr>
          <w:rFonts w:cs="Times New Roman"/>
          <w:sz w:val="23"/>
          <w:szCs w:val="23"/>
        </w:rPr>
        <w:t xml:space="preserve">biotic treatments </w:t>
      </w:r>
      <w:r w:rsidR="003B1030">
        <w:rPr>
          <w:rFonts w:cs="Times New Roman"/>
          <w:sz w:val="23"/>
          <w:szCs w:val="23"/>
        </w:rPr>
        <w:t>are</w:t>
      </w:r>
      <w:r w:rsidR="006807C2" w:rsidRPr="0024026E">
        <w:rPr>
          <w:rFonts w:cs="Times New Roman"/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>less sensitive to</w:t>
      </w:r>
      <w:r w:rsidR="003B1030" w:rsidRPr="00275A53">
        <w:rPr>
          <w:rFonts w:cs="Times New Roman"/>
          <w:b/>
          <w:sz w:val="23"/>
          <w:szCs w:val="23"/>
        </w:rPr>
        <w:t xml:space="preserve"> timing of their implementation.</w:t>
      </w:r>
      <w:r w:rsidR="003B1030">
        <w:rPr>
          <w:rFonts w:cs="Times New Roman"/>
          <w:sz w:val="23"/>
          <w:szCs w:val="23"/>
        </w:rPr>
        <w:t xml:space="preserve">  T</w:t>
      </w:r>
      <w:r w:rsidR="006807C2" w:rsidRPr="0024026E">
        <w:rPr>
          <w:rFonts w:cs="Times New Roman"/>
          <w:sz w:val="23"/>
          <w:szCs w:val="23"/>
        </w:rPr>
        <w:t>hus</w:t>
      </w:r>
      <w:r w:rsidR="003B1030">
        <w:rPr>
          <w:rFonts w:cs="Times New Roman"/>
          <w:sz w:val="23"/>
          <w:szCs w:val="23"/>
        </w:rPr>
        <w:t>, they</w:t>
      </w:r>
      <w:r w:rsidR="006807C2" w:rsidRPr="0024026E">
        <w:rPr>
          <w:rFonts w:cs="Times New Roman"/>
          <w:sz w:val="23"/>
          <w:szCs w:val="23"/>
        </w:rPr>
        <w:t xml:space="preserve"> may be</w:t>
      </w:r>
      <w:r w:rsidR="003B1030">
        <w:rPr>
          <w:rFonts w:cs="Times New Roman"/>
          <w:sz w:val="23"/>
          <w:szCs w:val="23"/>
        </w:rPr>
        <w:t>come</w:t>
      </w:r>
      <w:r w:rsidR="006807C2" w:rsidRPr="0024026E">
        <w:rPr>
          <w:rFonts w:cs="Times New Roman"/>
          <w:sz w:val="23"/>
          <w:szCs w:val="23"/>
        </w:rPr>
        <w:t xml:space="preserve"> an </w:t>
      </w:r>
      <w:r w:rsidR="003B1030">
        <w:rPr>
          <w:rFonts w:cs="Times New Roman"/>
          <w:sz w:val="23"/>
          <w:szCs w:val="23"/>
        </w:rPr>
        <w:t xml:space="preserve">increasingly </w:t>
      </w:r>
      <w:r w:rsidR="006807C2" w:rsidRPr="0024026E">
        <w:rPr>
          <w:rFonts w:cs="Times New Roman"/>
          <w:sz w:val="23"/>
          <w:szCs w:val="23"/>
        </w:rPr>
        <w:t xml:space="preserve">important part of restoration in the variable climates of tortoise habitats. 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4026E">
        <w:rPr>
          <w:rFonts w:cs="Times New Roman"/>
          <w:sz w:val="23"/>
          <w:szCs w:val="23"/>
        </w:rPr>
        <w:t xml:space="preserve">Where </w:t>
      </w:r>
      <w:r w:rsidR="006807C2" w:rsidRPr="00275A53">
        <w:rPr>
          <w:rFonts w:cs="Times New Roman"/>
          <w:b/>
          <w:sz w:val="23"/>
          <w:szCs w:val="23"/>
        </w:rPr>
        <w:t>salvaging topsoil</w:t>
      </w:r>
      <w:r w:rsidR="006807C2" w:rsidRPr="0024026E">
        <w:rPr>
          <w:rFonts w:cs="Times New Roman"/>
          <w:sz w:val="23"/>
          <w:szCs w:val="23"/>
        </w:rPr>
        <w:t xml:space="preserve"> is feasible and appropriate, it is likely to be among the most ecologically and cost-effective strategies for promoting recovery.  One study found that planting on salvaged topsoil doubled plant survival and was nearly equivalent to irrigation.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4026E">
        <w:rPr>
          <w:rFonts w:cs="Times New Roman"/>
          <w:sz w:val="23"/>
          <w:szCs w:val="23"/>
        </w:rPr>
        <w:t xml:space="preserve">Geomorphic and microtopography treatments, such as soil surface roughening or de-compaction, have shown mixed results and require further research to </w:t>
      </w:r>
      <w:r>
        <w:rPr>
          <w:rFonts w:cs="Times New Roman"/>
          <w:sz w:val="23"/>
          <w:szCs w:val="23"/>
        </w:rPr>
        <w:t>identify</w:t>
      </w:r>
      <w:r w:rsidR="006807C2" w:rsidRPr="0024026E">
        <w:rPr>
          <w:rFonts w:cs="Times New Roman"/>
          <w:sz w:val="23"/>
          <w:szCs w:val="23"/>
        </w:rPr>
        <w:t xml:space="preserve"> where and how they can be most successful.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4026E">
        <w:rPr>
          <w:rFonts w:cs="Times New Roman"/>
          <w:sz w:val="23"/>
          <w:szCs w:val="23"/>
        </w:rPr>
        <w:t xml:space="preserve">Research on </w:t>
      </w:r>
      <w:r w:rsidR="003E0A03" w:rsidRPr="00275A53">
        <w:rPr>
          <w:rFonts w:cs="Times New Roman"/>
          <w:b/>
          <w:sz w:val="23"/>
          <w:szCs w:val="23"/>
        </w:rPr>
        <w:t>restoring</w:t>
      </w:r>
      <w:r w:rsidR="006807C2" w:rsidRPr="00275A53">
        <w:rPr>
          <w:rFonts w:cs="Times New Roman"/>
          <w:b/>
          <w:sz w:val="23"/>
          <w:szCs w:val="23"/>
        </w:rPr>
        <w:t xml:space="preserve"> soil features</w:t>
      </w:r>
      <w:r w:rsidR="006807C2" w:rsidRPr="0024026E">
        <w:rPr>
          <w:rFonts w:cs="Times New Roman"/>
          <w:sz w:val="23"/>
          <w:szCs w:val="23"/>
        </w:rPr>
        <w:t xml:space="preserve">, such as </w:t>
      </w:r>
      <w:proofErr w:type="spellStart"/>
      <w:r w:rsidR="006807C2" w:rsidRPr="00275A53">
        <w:rPr>
          <w:rFonts w:cs="Times New Roman"/>
          <w:b/>
          <w:sz w:val="23"/>
          <w:szCs w:val="23"/>
        </w:rPr>
        <w:t>biocrusts</w:t>
      </w:r>
      <w:proofErr w:type="spellEnd"/>
      <w:r w:rsidR="006807C2" w:rsidRPr="0024026E">
        <w:rPr>
          <w:rFonts w:cs="Times New Roman"/>
          <w:sz w:val="23"/>
          <w:szCs w:val="23"/>
        </w:rPr>
        <w:t xml:space="preserve">, is in the early stages in tortoise habitat but shows promise.  For example, one study found that 18 months after applying biocrust inoculation, severely disturbed soils had </w:t>
      </w:r>
      <w:r w:rsidR="006807C2" w:rsidRPr="00275A53">
        <w:rPr>
          <w:rFonts w:cs="Times New Roman"/>
          <w:b/>
          <w:sz w:val="23"/>
          <w:szCs w:val="23"/>
        </w:rPr>
        <w:t>recovered 43% of their cyanobacteria density</w:t>
      </w:r>
      <w:r w:rsidR="006807C2" w:rsidRPr="0024026E">
        <w:rPr>
          <w:rFonts w:cs="Times New Roman"/>
          <w:sz w:val="23"/>
          <w:szCs w:val="23"/>
        </w:rPr>
        <w:t xml:space="preserve"> and </w:t>
      </w:r>
      <w:r w:rsidR="006807C2" w:rsidRPr="00275A53">
        <w:rPr>
          <w:rFonts w:cs="Times New Roman"/>
          <w:b/>
          <w:sz w:val="23"/>
          <w:szCs w:val="23"/>
        </w:rPr>
        <w:t>contained lichens and mosses,</w:t>
      </w:r>
      <w:r w:rsidR="006807C2" w:rsidRPr="0024026E">
        <w:rPr>
          <w:rFonts w:cs="Times New Roman"/>
          <w:sz w:val="23"/>
          <w:szCs w:val="23"/>
        </w:rPr>
        <w:t xml:space="preserve"> whereas non-inoculated plots did not.  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>Restorative management actions</w:t>
      </w:r>
      <w:r w:rsidR="006807C2" w:rsidRPr="0024026E">
        <w:rPr>
          <w:rFonts w:cs="Times New Roman"/>
          <w:sz w:val="23"/>
          <w:szCs w:val="23"/>
        </w:rPr>
        <w:t xml:space="preserve">, such as </w:t>
      </w:r>
      <w:r w:rsidR="006807C2" w:rsidRPr="00275A53">
        <w:rPr>
          <w:rFonts w:cs="Times New Roman"/>
          <w:b/>
          <w:sz w:val="23"/>
          <w:szCs w:val="23"/>
        </w:rPr>
        <w:t>strategic</w:t>
      </w:r>
      <w:r w:rsidRPr="00275A53">
        <w:rPr>
          <w:rFonts w:cs="Times New Roman"/>
          <w:b/>
          <w:sz w:val="23"/>
          <w:szCs w:val="23"/>
        </w:rPr>
        <w:t xml:space="preserve">ally </w:t>
      </w:r>
      <w:r w:rsidR="006807C2" w:rsidRPr="00275A53">
        <w:rPr>
          <w:rFonts w:cs="Times New Roman"/>
          <w:b/>
          <w:sz w:val="23"/>
          <w:szCs w:val="23"/>
        </w:rPr>
        <w:t xml:space="preserve">fencing or </w:t>
      </w:r>
      <w:r w:rsidRPr="00275A53">
        <w:rPr>
          <w:rFonts w:cs="Times New Roman"/>
          <w:b/>
          <w:sz w:val="23"/>
          <w:szCs w:val="23"/>
        </w:rPr>
        <w:t>treating</w:t>
      </w:r>
      <w:r w:rsidR="006807C2" w:rsidRPr="00275A53">
        <w:rPr>
          <w:rFonts w:cs="Times New Roman"/>
          <w:b/>
          <w:sz w:val="23"/>
          <w:szCs w:val="23"/>
        </w:rPr>
        <w:t xml:space="preserve"> non-native plants</w:t>
      </w:r>
      <w:r w:rsidR="006807C2" w:rsidRPr="0024026E">
        <w:rPr>
          <w:rFonts w:cs="Times New Roman"/>
          <w:sz w:val="23"/>
          <w:szCs w:val="23"/>
        </w:rPr>
        <w:t>, have high potential for improving degraded tortoise habitat.  For example, a study found that tortoise density was 2.5</w:t>
      </w:r>
      <w:r w:rsidR="00691D30">
        <w:rPr>
          <w:rFonts w:cs="Times New Roman"/>
          <w:sz w:val="23"/>
          <w:szCs w:val="23"/>
        </w:rPr>
        <w:t>×</w:t>
      </w:r>
      <w:r w:rsidR="006807C2" w:rsidRPr="0024026E">
        <w:rPr>
          <w:rFonts w:cs="Times New Roman"/>
          <w:sz w:val="23"/>
          <w:szCs w:val="23"/>
        </w:rPr>
        <w:t xml:space="preserve"> </w:t>
      </w:r>
      <w:r w:rsidR="00691D30">
        <w:rPr>
          <w:rFonts w:cs="Times New Roman"/>
          <w:sz w:val="23"/>
          <w:szCs w:val="23"/>
        </w:rPr>
        <w:t>higher</w:t>
      </w:r>
      <w:r w:rsidR="006807C2" w:rsidRPr="0024026E">
        <w:rPr>
          <w:rFonts w:cs="Times New Roman"/>
          <w:sz w:val="23"/>
          <w:szCs w:val="23"/>
        </w:rPr>
        <w:t xml:space="preserve"> inside a fenced area after 30 years compared with no fencing.  When treatments have reduced non-native annuals, native annuals, including high-quality tortoise food plants, have responded positively.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</w:p>
    <w:p w:rsidR="006807C2" w:rsidRPr="0024026E" w:rsidRDefault="0024026E" w:rsidP="006807C2">
      <w:pPr>
        <w:rPr>
          <w:rFonts w:cs="Times New Roman"/>
          <w:sz w:val="23"/>
          <w:szCs w:val="23"/>
        </w:rPr>
      </w:pPr>
      <w:r>
        <w:t>–</w:t>
      </w:r>
      <w:r>
        <w:rPr>
          <w:sz w:val="23"/>
          <w:szCs w:val="23"/>
        </w:rPr>
        <w:t xml:space="preserve"> </w:t>
      </w:r>
      <w:r w:rsidR="006807C2" w:rsidRPr="00275A53">
        <w:rPr>
          <w:rFonts w:cs="Times New Roman"/>
          <w:b/>
          <w:sz w:val="23"/>
          <w:szCs w:val="23"/>
        </w:rPr>
        <w:t>Restoration cost estimates</w:t>
      </w:r>
      <w:r w:rsidR="006807C2" w:rsidRPr="0024026E">
        <w:rPr>
          <w:rFonts w:cs="Times New Roman"/>
          <w:sz w:val="23"/>
          <w:szCs w:val="23"/>
        </w:rPr>
        <w:t xml:space="preserve"> vary with the severity of disturbance and restoration intensity and can range from </w:t>
      </w:r>
      <w:r w:rsidR="00275A53">
        <w:rPr>
          <w:rFonts w:cs="Times New Roman"/>
          <w:sz w:val="23"/>
          <w:szCs w:val="23"/>
        </w:rPr>
        <w:t xml:space="preserve">&lt; </w:t>
      </w:r>
      <w:r w:rsidR="006807C2" w:rsidRPr="0024026E">
        <w:rPr>
          <w:rFonts w:cs="Times New Roman"/>
          <w:sz w:val="23"/>
          <w:szCs w:val="23"/>
        </w:rPr>
        <w:t>$1000/ha to &gt; $10,000/ha.  Further research could aid cost effectiveness by improving tailoring effective treatments to specific site conditions and plant materials</w:t>
      </w:r>
      <w:r w:rsidR="00691D30">
        <w:rPr>
          <w:rFonts w:cs="Times New Roman"/>
          <w:sz w:val="23"/>
          <w:szCs w:val="23"/>
        </w:rPr>
        <w:t xml:space="preserve"> with </w:t>
      </w:r>
      <w:r w:rsidR="003E0A03">
        <w:rPr>
          <w:rFonts w:cs="Times New Roman"/>
          <w:sz w:val="23"/>
          <w:szCs w:val="23"/>
        </w:rPr>
        <w:t xml:space="preserve">the </w:t>
      </w:r>
      <w:r w:rsidR="00691D30">
        <w:rPr>
          <w:rFonts w:cs="Times New Roman"/>
          <w:sz w:val="23"/>
          <w:szCs w:val="23"/>
        </w:rPr>
        <w:t>greatest chance for success</w:t>
      </w:r>
      <w:r w:rsidR="006807C2" w:rsidRPr="0024026E">
        <w:rPr>
          <w:rFonts w:cs="Times New Roman"/>
          <w:sz w:val="23"/>
          <w:szCs w:val="23"/>
        </w:rPr>
        <w:t>.</w:t>
      </w:r>
    </w:p>
    <w:p w:rsidR="006807C2" w:rsidRPr="0024026E" w:rsidRDefault="006807C2" w:rsidP="006807C2">
      <w:pPr>
        <w:rPr>
          <w:rFonts w:cs="Times New Roman"/>
          <w:sz w:val="18"/>
          <w:szCs w:val="18"/>
        </w:rPr>
      </w:pPr>
      <w:bookmarkStart w:id="0" w:name="_GoBack"/>
      <w:bookmarkEnd w:id="0"/>
    </w:p>
    <w:p w:rsidR="00BE1154" w:rsidRDefault="004E28C4">
      <w:pPr>
        <w:rPr>
          <w:rFonts w:cs="Times New Roman"/>
          <w:sz w:val="23"/>
          <w:szCs w:val="23"/>
        </w:rPr>
      </w:pPr>
      <w:r w:rsidRPr="004E28C4">
        <w:rPr>
          <w:rFonts w:cs="Times New Roman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999490</wp:posOffset>
                </wp:positionV>
                <wp:extent cx="62579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C4" w:rsidRPr="004E28C4" w:rsidRDefault="004E28C4" w:rsidP="00967D63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4E28C4">
                              <w:rPr>
                                <w:sz w:val="23"/>
                                <w:szCs w:val="23"/>
                              </w:rPr>
                              <w:t xml:space="preserve">This review was </w:t>
                            </w:r>
                            <w:r w:rsidR="00275A53">
                              <w:rPr>
                                <w:sz w:val="23"/>
                                <w:szCs w:val="23"/>
                              </w:rPr>
                              <w:t>created</w:t>
                            </w:r>
                            <w:r w:rsidRPr="004E28C4">
                              <w:rPr>
                                <w:sz w:val="23"/>
                                <w:szCs w:val="23"/>
                              </w:rPr>
                              <w:t xml:space="preserve"> by the Clark County Desert Conservation Program via contract with NRC LLC. 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8.7pt;width:492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r7PQIAAFoEAAAOAAAAZHJzL2Uyb0RvYy54bWysVNuO2jAQfa/Uf7D8XhLSwC4RYbVlS1Vp&#10;e5F2+wHGcYhV2+PahoR+fccOsLR9q8qD5ZmMz5k5M8PybtCKHITzEkxNp5OcEmE4NNLsavrtefPm&#10;lhIfmGmYAiNqehSe3q1ev1r2thIFdKAa4QiCGF/1tqZdCLbKMs87oZmfgBUGP7bgNAtoul3WONYj&#10;ulZZkefzrAfXWAdceI/eh/EjXSX8thU8fGlbLwJRNcXcQjpdOrfxzFZLVu0cs53kpzTYP2ShmTRI&#10;eoF6YIGRvZN/QWnJHXhow4SDzqBtJRepBqxmmv9RzVPHrEi1oDjeXmTy/w+Wfz58dUQ2NX1LiWEa&#10;W/QshkDewUCKqE5vfYVBTxbDwoBu7HKq1NtH4N89MbDumNmJe+eg7wRrMLtpfJldPR1xfATZ9p+g&#10;QRq2D5CAhtbpKB2KQRAdu3S8dCamwtE5L2Y3i2JGCcdv0zIv50XqXcaq83PrfPggQJN4qanD1id4&#10;dnj0IabDqnNIZPOgZLORSiUjjptYK0cODAeFcS5MmKfnaq8x39E/z/E3jgy6cbBGd3l2I0Ua3IiU&#10;CH8jUYb0NV3MsIzIaSCyp/nTMuASKKlrehuxThxRzPemSSGBSTXekUSZk7pR0FHaMGwHDIySb6E5&#10;os4OxmHH5cRLB+4nJT0Oek39jz1zghL10WCvFtOyjJuRjHJ2g8ISd21srw1mOELVNFAyXtchbVNS&#10;0d5jTzcyqf2SySlXHOCkyWnZ4oZc2ynq5S9h9QsAAP//AwBQSwMEFAAGAAgAAAAhAD6Z2TneAAAA&#10;CAEAAA8AAABkcnMvZG93bnJldi54bWxMj81OwzAQhO9IvIO1SNyow0/aEOJUVaXeQEDLA2zjzQ/Y&#10;68h229Cnx5zgODurmW+q5WSNOJIPg2MFt7MMBHHj9MCdgo/d5qYAESKyRuOYFHxTgGV9eVFhqd2J&#10;3+m4jZ1IIRxKVNDHOJZShqYni2HmRuLktc5bjEn6TmqPpxRujbzLsrm0OHBq6HGkdU/N1/ZgFTSM&#10;b5/ntTlnfvfajitsn182rVLXV9PqCUSkKf49wy9+Qoc6Me3dgXUQRkEaEtM1XzyASPZjkecg9gru&#10;F8UcZF3J/wPqHwAAAP//AwBQSwECLQAUAAYACAAAACEAtoM4kv4AAADhAQAAEwAAAAAAAAAAAAAA&#10;AAAAAAAAW0NvbnRlbnRfVHlwZXNdLnhtbFBLAQItABQABgAIAAAAIQA4/SH/1gAAAJQBAAALAAAA&#10;AAAAAAAAAAAAAC8BAABfcmVscy8ucmVsc1BLAQItABQABgAIAAAAIQC+l4r7PQIAAFoEAAAOAAAA&#10;AAAAAAAAAAAAAC4CAABkcnMvZTJvRG9jLnhtbFBLAQItABQABgAIAAAAIQA+mdk53gAAAAgBAAAP&#10;AAAAAAAAAAAAAAAAAJcEAABkcnMvZG93bnJldi54bWxQSwUGAAAAAAQABADzAAAAogUAAAAA&#10;" fillcolor="#a8d08d [1945]" stroked="f">
                <v:textbox style="mso-fit-shape-to-text:t" inset=",,3.6pt">
                  <w:txbxContent>
                    <w:p w:rsidR="004E28C4" w:rsidRPr="004E28C4" w:rsidRDefault="004E28C4" w:rsidP="00967D63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4E28C4">
                        <w:rPr>
                          <w:sz w:val="23"/>
                          <w:szCs w:val="23"/>
                        </w:rPr>
                        <w:t xml:space="preserve">This review was </w:t>
                      </w:r>
                      <w:r w:rsidR="00275A53">
                        <w:rPr>
                          <w:sz w:val="23"/>
                          <w:szCs w:val="23"/>
                        </w:rPr>
                        <w:t>created</w:t>
                      </w:r>
                      <w:r w:rsidRPr="004E28C4">
                        <w:rPr>
                          <w:sz w:val="23"/>
                          <w:szCs w:val="23"/>
                        </w:rPr>
                        <w:t xml:space="preserve"> by the Clark County Desert Conservation Program via contract with NRC LLC.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26E">
        <w:t>–</w:t>
      </w:r>
      <w:r w:rsidR="0024026E">
        <w:rPr>
          <w:sz w:val="23"/>
          <w:szCs w:val="23"/>
        </w:rPr>
        <w:t xml:space="preserve"> </w:t>
      </w:r>
      <w:r w:rsidR="006807C2" w:rsidRPr="0024026E">
        <w:rPr>
          <w:rFonts w:cs="Times New Roman"/>
          <w:sz w:val="23"/>
          <w:szCs w:val="23"/>
        </w:rPr>
        <w:t xml:space="preserve">The review presents </w:t>
      </w:r>
      <w:r w:rsidR="006807C2" w:rsidRPr="00275A53">
        <w:rPr>
          <w:rFonts w:cs="Times New Roman"/>
          <w:b/>
          <w:sz w:val="23"/>
          <w:szCs w:val="23"/>
        </w:rPr>
        <w:t>five main suggested topics for further research</w:t>
      </w:r>
      <w:r w:rsidR="006807C2" w:rsidRPr="0024026E">
        <w:rPr>
          <w:rFonts w:cs="Times New Roman"/>
          <w:sz w:val="23"/>
          <w:szCs w:val="23"/>
        </w:rPr>
        <w:t xml:space="preserve">, ranging from research on optimizing the spatial deployment of limited restoration resources to developing more effective treatments for reducing non-native annual grasses </w:t>
      </w:r>
      <w:r w:rsidR="00691D30">
        <w:rPr>
          <w:rFonts w:cs="Times New Roman"/>
          <w:sz w:val="23"/>
          <w:szCs w:val="23"/>
        </w:rPr>
        <w:t>to limit</w:t>
      </w:r>
      <w:r w:rsidR="006807C2" w:rsidRPr="0024026E">
        <w:rPr>
          <w:rFonts w:cs="Times New Roman"/>
          <w:sz w:val="23"/>
          <w:szCs w:val="23"/>
        </w:rPr>
        <w:t xml:space="preserve"> a top threat to tortoise habitats.  Further </w:t>
      </w:r>
      <w:r w:rsidR="006807C2" w:rsidRPr="00275A53">
        <w:rPr>
          <w:rFonts w:cs="Times New Roman"/>
          <w:b/>
          <w:sz w:val="23"/>
          <w:szCs w:val="23"/>
        </w:rPr>
        <w:t>linking habitat restoration activities</w:t>
      </w:r>
      <w:r w:rsidR="006807C2" w:rsidRPr="0024026E">
        <w:rPr>
          <w:rFonts w:cs="Times New Roman"/>
          <w:sz w:val="23"/>
          <w:szCs w:val="23"/>
        </w:rPr>
        <w:t xml:space="preserve"> with short- and long-term </w:t>
      </w:r>
      <w:r w:rsidR="006807C2" w:rsidRPr="00275A53">
        <w:rPr>
          <w:rFonts w:cs="Times New Roman"/>
          <w:b/>
          <w:sz w:val="23"/>
          <w:szCs w:val="23"/>
        </w:rPr>
        <w:t>indicators of tortoise health</w:t>
      </w:r>
      <w:r w:rsidR="006807C2" w:rsidRPr="0024026E">
        <w:rPr>
          <w:rFonts w:cs="Times New Roman"/>
          <w:sz w:val="23"/>
          <w:szCs w:val="23"/>
        </w:rPr>
        <w:t xml:space="preserve"> offers opportunities for research collaborations among restoration and plant ecologists, tortoise biologists, and land managers.</w:t>
      </w:r>
    </w:p>
    <w:p w:rsidR="004E28C4" w:rsidRDefault="00967D63">
      <w:pPr>
        <w:rPr>
          <w:rFonts w:cs="Times New Roman"/>
          <w:sz w:val="23"/>
          <w:szCs w:val="23"/>
        </w:rPr>
      </w:pPr>
      <w:r>
        <w:rPr>
          <w:rFonts w:ascii="Calibri" w:hAnsi="Calibri"/>
          <w:b/>
          <w:noProof/>
          <w:sz w:val="23"/>
          <w:szCs w:val="23"/>
        </w:rPr>
        <w:drawing>
          <wp:anchor distT="0" distB="0" distL="27305" distR="27305" simplePos="0" relativeHeight="251665408" behindDoc="0" locked="0" layoutInCell="1" allowOverlap="1" wp14:anchorId="7CCBBF5F" wp14:editId="2F799B72">
            <wp:simplePos x="0" y="0"/>
            <wp:positionH relativeFrom="margin">
              <wp:align>left</wp:align>
            </wp:positionH>
            <wp:positionV relativeFrom="paragraph">
              <wp:posOffset>513715</wp:posOffset>
            </wp:positionV>
            <wp:extent cx="4029075" cy="796290"/>
            <wp:effectExtent l="0" t="0" r="9525" b="381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C LL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8C4" w:rsidRPr="00C94EA4">
        <w:rPr>
          <w:rFonts w:ascii="Calibri" w:hAnsi="Calibri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B84A66" wp14:editId="590B0079">
                <wp:simplePos x="0" y="0"/>
                <wp:positionH relativeFrom="margin">
                  <wp:posOffset>4113530</wp:posOffset>
                </wp:positionH>
                <wp:positionV relativeFrom="paragraph">
                  <wp:posOffset>516255</wp:posOffset>
                </wp:positionV>
                <wp:extent cx="1847850" cy="800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C4" w:rsidRPr="00C94EA4" w:rsidRDefault="004E28C4" w:rsidP="004E28C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4EA4">
                              <w:rPr>
                                <w:sz w:val="23"/>
                                <w:szCs w:val="23"/>
                              </w:rPr>
                              <w:t>1400 Colorado Street</w:t>
                            </w:r>
                          </w:p>
                          <w:p w:rsidR="004E28C4" w:rsidRPr="00C94EA4" w:rsidRDefault="004E28C4" w:rsidP="004E28C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4EA4">
                              <w:rPr>
                                <w:sz w:val="23"/>
                                <w:szCs w:val="23"/>
                              </w:rPr>
                              <w:t>Boulder City, NV 89005</w:t>
                            </w:r>
                          </w:p>
                          <w:p w:rsidR="004E28C4" w:rsidRPr="00C94EA4" w:rsidRDefault="004E28C4" w:rsidP="004E28C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4EA4">
                              <w:rPr>
                                <w:sz w:val="23"/>
                                <w:szCs w:val="23"/>
                              </w:rPr>
                              <w:t>Scott Abella, Ph.D., Founder</w:t>
                            </w:r>
                          </w:p>
                          <w:p w:rsidR="004E28C4" w:rsidRPr="00C94EA4" w:rsidRDefault="004E28C4" w:rsidP="004E28C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4EA4">
                              <w:rPr>
                                <w:sz w:val="23"/>
                                <w:szCs w:val="23"/>
                              </w:rPr>
                              <w:t>abellaNRC@gmail.com</w:t>
                            </w:r>
                          </w:p>
                        </w:txbxContent>
                      </wps:txbx>
                      <wps:bodyPr rot="0" vert="horz" wrap="square" lIns="9144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4A66" id="_x0000_s1027" type="#_x0000_t202" style="position:absolute;margin-left:323.9pt;margin-top:40.65pt;width:145.5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HjQgIAAIcEAAAOAAAAZHJzL2Uyb0RvYy54bWysVMtu2zAQvBfoPxC817IFu3EEy0HqNEWB&#10;NC2Q9ANWFGURJbkqSVtyv75LyrGd9lb0InD5mJ2d2dXqZjCa7aXzCm3JZ5MpZ9IKrJXdlvz78/27&#10;JWc+gK1Bo5UlP0jPb9Zv36z6rpA5tqhr6RiBWF/0XcnbELoiy7xopQE/wU5aOmzQGQgUum1WO+gJ&#10;3egsn07fZz26unMopPe0ezce8nXCbxopwtem8TIwXXLiFtLXpW8Vv9l6BcXWQdcqcaQB/8DCgLKU&#10;9AR1BwHYzqm/oIwSDj02YSLQZNg0SshUA1Uzm/5RzVMLnUy1kDi+O8nk/x+seNx/c0zVJV9wZsGQ&#10;Rc9yCOwDDiyP6vSdL+jSU0fXwkDb5HKq1HcPKH54ZnHTgt3KW+ewbyXUxG4WX2YXT0ccH0Gq/gvW&#10;lAZ2ARPQ0DgTpSMxGKGTS4eTM5GKiCmX86vlgo4EnS2nJFWyLoPi5XXnfPgk0bC4KLkj5xM67B98&#10;iGygeLkSk3nUqr5XWqcgdpvcaMf2QH0Shjw91TtDVMc96rUxJRS0TT01bhOVE5PUsxElJXuVQFvW&#10;l/x6kS8S8Ksz77bVKXWEOwNecjQq0KBoZVL9x0tQRME/2jq1cQClxzUVq+3RgSj6KH8YqiFZneyJ&#10;7lRYH8gSh+Nc0BzTokX3i7OeZqLk/ucOnORMf7Zk6/VsPo9DlIL54iqnwF0G1WUAVhBUyUVwnI3B&#10;JqTRi5pbvKUGaFTy5szlSJq6Pal4nMw4TpdxunX+f6x/AwAA//8DAFBLAwQUAAYACAAAACEATdTs&#10;3eMAAAAKAQAADwAAAGRycy9kb3ducmV2LnhtbEyPQU/CQBCF7yb+h82YeDGwhSqttVOiJkQOhiDU&#10;+9IObbW7W7sLFH+940mP8+blve+l80G34ki9a6xBmIwDEGQKWzamQsi3i1EMwnllStVaQwhncjDP&#10;Li9SlZT2ZN7ouPGV4BDjEoVQe98lUrqiJq3c2HZk+Le3vVaez76SZa9OHK5bOQ2CmdSqMdxQq46e&#10;ayo+NweN8H23v1m+Lr7WH9uX9+gpdvnqvMoRr6+GxwcQngb/Z4ZffEaHjJl29mBKJ1qE2W3E6B4h&#10;noQg2HAfxizsEKZBFILMUvl/QvYDAAD//wMAUEsBAi0AFAAGAAgAAAAhALaDOJL+AAAA4QEAABMA&#10;AAAAAAAAAAAAAAAAAAAAAFtDb250ZW50X1R5cGVzXS54bWxQSwECLQAUAAYACAAAACEAOP0h/9YA&#10;AACUAQAACwAAAAAAAAAAAAAAAAAvAQAAX3JlbHMvLnJlbHNQSwECLQAUAAYACAAAACEACrsx40IC&#10;AACHBAAADgAAAAAAAAAAAAAAAAAuAgAAZHJzL2Uyb0RvYy54bWxQSwECLQAUAAYACAAAACEATdTs&#10;3eMAAAAKAQAADwAAAAAAAAAAAAAAAACcBAAAZHJzL2Rvd25yZXYueG1sUEsFBgAAAAAEAAQA8wAA&#10;AKwFAAAAAA==&#10;" fillcolor="#d5dce4 [671]">
                <v:textbox inset=",,3.6pt">
                  <w:txbxContent>
                    <w:p w:rsidR="004E28C4" w:rsidRPr="00C94EA4" w:rsidRDefault="004E28C4" w:rsidP="004E28C4">
                      <w:pPr>
                        <w:rPr>
                          <w:sz w:val="23"/>
                          <w:szCs w:val="23"/>
                        </w:rPr>
                      </w:pPr>
                      <w:r w:rsidRPr="00C94EA4">
                        <w:rPr>
                          <w:sz w:val="23"/>
                          <w:szCs w:val="23"/>
                        </w:rPr>
                        <w:t>1400 Colorado Street</w:t>
                      </w:r>
                    </w:p>
                    <w:p w:rsidR="004E28C4" w:rsidRPr="00C94EA4" w:rsidRDefault="004E28C4" w:rsidP="004E28C4">
                      <w:pPr>
                        <w:rPr>
                          <w:sz w:val="23"/>
                          <w:szCs w:val="23"/>
                        </w:rPr>
                      </w:pPr>
                      <w:r w:rsidRPr="00C94EA4">
                        <w:rPr>
                          <w:sz w:val="23"/>
                          <w:szCs w:val="23"/>
                        </w:rPr>
                        <w:t>Boulder City, NV 89005</w:t>
                      </w:r>
                    </w:p>
                    <w:p w:rsidR="004E28C4" w:rsidRPr="00C94EA4" w:rsidRDefault="004E28C4" w:rsidP="004E28C4">
                      <w:pPr>
                        <w:rPr>
                          <w:sz w:val="23"/>
                          <w:szCs w:val="23"/>
                        </w:rPr>
                      </w:pPr>
                      <w:r w:rsidRPr="00C94EA4">
                        <w:rPr>
                          <w:sz w:val="23"/>
                          <w:szCs w:val="23"/>
                        </w:rPr>
                        <w:t>Scott Abella, Ph.D., Founder</w:t>
                      </w:r>
                    </w:p>
                    <w:p w:rsidR="004E28C4" w:rsidRPr="00C94EA4" w:rsidRDefault="004E28C4" w:rsidP="004E28C4">
                      <w:pPr>
                        <w:rPr>
                          <w:sz w:val="23"/>
                          <w:szCs w:val="23"/>
                        </w:rPr>
                      </w:pPr>
                      <w:r w:rsidRPr="00C94EA4">
                        <w:rPr>
                          <w:sz w:val="23"/>
                          <w:szCs w:val="23"/>
                        </w:rPr>
                        <w:t>abellaNRC@gmail.com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8C4" w:rsidRPr="004E28C4" w:rsidRDefault="004E28C4" w:rsidP="004E28C4">
      <w:pPr>
        <w:rPr>
          <w:rFonts w:cs="Times New Roman"/>
          <w:sz w:val="23"/>
          <w:szCs w:val="23"/>
        </w:rPr>
      </w:pPr>
    </w:p>
    <w:p w:rsidR="004E28C4" w:rsidRPr="004E28C4" w:rsidRDefault="004E28C4" w:rsidP="004E28C4">
      <w:pPr>
        <w:rPr>
          <w:rFonts w:cs="Times New Roman"/>
          <w:sz w:val="23"/>
          <w:szCs w:val="23"/>
        </w:rPr>
      </w:pPr>
    </w:p>
    <w:p w:rsidR="004E28C4" w:rsidRPr="004E28C4" w:rsidRDefault="004E28C4" w:rsidP="004E28C4">
      <w:pPr>
        <w:rPr>
          <w:rFonts w:cs="Times New Roman"/>
          <w:sz w:val="23"/>
          <w:szCs w:val="23"/>
        </w:rPr>
      </w:pPr>
    </w:p>
    <w:p w:rsidR="00CE72DA" w:rsidRPr="004E28C4" w:rsidRDefault="00CE72DA" w:rsidP="004E28C4">
      <w:pPr>
        <w:rPr>
          <w:rFonts w:cs="Times New Roman"/>
          <w:sz w:val="23"/>
          <w:szCs w:val="23"/>
        </w:rPr>
      </w:pPr>
    </w:p>
    <w:sectPr w:rsidR="00CE72DA" w:rsidRPr="004E28C4" w:rsidSect="004E28C4"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54"/>
    <w:rsid w:val="0007569A"/>
    <w:rsid w:val="0024026E"/>
    <w:rsid w:val="00275A53"/>
    <w:rsid w:val="003B1030"/>
    <w:rsid w:val="003E0A03"/>
    <w:rsid w:val="004E28C4"/>
    <w:rsid w:val="005B090C"/>
    <w:rsid w:val="006807C2"/>
    <w:rsid w:val="00691D30"/>
    <w:rsid w:val="0088383E"/>
    <w:rsid w:val="00967D63"/>
    <w:rsid w:val="00A12B48"/>
    <w:rsid w:val="00B14FA8"/>
    <w:rsid w:val="00BE1154"/>
    <w:rsid w:val="00CC28C4"/>
    <w:rsid w:val="00CE72DA"/>
    <w:rsid w:val="00D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15FF6-E065-4D4D-BA99-11236CB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ScottAbella</dc:creator>
  <cp:keywords/>
  <dc:description/>
  <cp:lastModifiedBy>ScottAbella</cp:lastModifiedBy>
  <cp:revision>12</cp:revision>
  <dcterms:created xsi:type="dcterms:W3CDTF">2021-09-17T12:29:00Z</dcterms:created>
  <dcterms:modified xsi:type="dcterms:W3CDTF">2021-11-05T13:13:00Z</dcterms:modified>
</cp:coreProperties>
</file>